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THE KINGDOM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"Adultery, Divorce, Remarriage"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Matthew 5:27-32; 19:3-9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I. </w:t>
      </w: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Adultery (vs. 27-29)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1. </w:t>
      </w:r>
      <w:r>
        <w:rPr>
          <w:rFonts w:ascii="Georgia"/>
          <w:sz w:val="28"/>
          <w:szCs w:val="28"/>
          <w:u w:val="single"/>
          <w:rtl w:val="0"/>
          <w:lang w:val="en-US"/>
        </w:rPr>
        <w:t>Statement of the Law: Do not commit adultery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How then can I do this great wickedness and sin against God?" - Genesis 39:9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Sense of the Law: Refrain from lustful intent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</w:t>
      </w:r>
      <w:r>
        <w:rPr>
          <w:rFonts w:ascii="Georgia"/>
          <w:sz w:val="28"/>
          <w:szCs w:val="28"/>
          <w:u w:val="single"/>
          <w:rtl w:val="0"/>
          <w:lang w:val="en-US"/>
        </w:rPr>
        <w:t>Seriousness of the Violation: Shattered lives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Job 31:1,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made a covenant with my eyes not to look with lust at a young woman.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</w:rPr>
        <w:t>”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Corinthians 6:18, "Flee from sexual immorality."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II. Divorce (5:31-32; 19:3-9)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1. </w:t>
      </w:r>
      <w:r>
        <w:rPr>
          <w:rFonts w:ascii="Georgia"/>
          <w:sz w:val="28"/>
          <w:szCs w:val="28"/>
          <w:u w:val="single"/>
          <w:rtl w:val="0"/>
          <w:lang w:val="en-US"/>
        </w:rPr>
        <w:t>God's intention for marriage: exclusive and permanent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Matthew 19:3, 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And Pharisees came up to him and tested him by asking,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'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Is it lawful to divorce one's wife for any cause?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'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Matthew 19:4-6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4 He answered, "Have you not read that he who created them from the beginning made them male and female,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5 and said, 'Therefore a man shall leave his father and his mother and hold fast to his wife, and the two shall become one flesh'?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6 So they are no longer two but one flesh. What therefore God has joined together, let not man separate."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Divorce is not an option...except for adultery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Matthew 19:7-8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7 They said to him, "Why then did Moses command one to give a certificate of divorce and to send her away?"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8 He said to them, "Because of your hardness of heart Moses allowed you to divorce your wives, but from the beginning it was not so.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Matthew 19:9, 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And I say to you: whoever divorces his wife, except for sexual immorality, and marries another, commits adultery."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Adultery </w:t>
      </w:r>
      <w:r>
        <w:rPr>
          <w:rFonts w:ascii="Georgia"/>
          <w:sz w:val="28"/>
          <w:szCs w:val="28"/>
          <w:rtl w:val="0"/>
          <w:lang w:val="en-US"/>
        </w:rPr>
        <w:t>destroys the union God established and breaks the oneness of marriage.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The standard is still to seek forgiveness and reconciliation and keep the marriage intact and grow stronger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III. Remarriage (5:32; 19:9)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tabs>
          <w:tab w:val="num" w:pos="458"/>
          <w:tab w:val="clear" w:pos="0"/>
        </w:tabs>
        <w:ind w:left="458" w:hanging="458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Divorce due to adultery the innocent party can remarry</w:t>
      </w:r>
      <w:r>
        <w:rPr>
          <w:rFonts w:ascii="Georgia"/>
          <w:sz w:val="28"/>
          <w:szCs w:val="28"/>
          <w:rtl w:val="0"/>
          <w:lang w:val="en-US"/>
        </w:rPr>
        <w:t xml:space="preserve"> (Matt. 5:32/19:9)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tabs>
          <w:tab w:val="num" w:pos="458"/>
          <w:tab w:val="clear" w:pos="0"/>
        </w:tabs>
        <w:ind w:left="458" w:hanging="458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Divorce due to abandonment the innocent party can remarry</w:t>
      </w:r>
      <w:r>
        <w:rPr>
          <w:rFonts w:ascii="Georgia"/>
          <w:sz w:val="28"/>
          <w:szCs w:val="28"/>
          <w:rtl w:val="0"/>
          <w:lang w:val="en-US"/>
        </w:rPr>
        <w:t xml:space="preserve">                   (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Corinthians 7:15, 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But if the unbelieving partner separates, let it be so. In such cases the brother or sister is not enslaved. God has called you to peace.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  <w:r>
        <w:rPr>
          <w:rFonts w:ascii="Georgia"/>
          <w:sz w:val="28"/>
          <w:szCs w:val="28"/>
          <w:rtl w:val="0"/>
          <w:lang w:val="en-US"/>
        </w:rPr>
        <w:t>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tabs>
          <w:tab w:val="num" w:pos="458"/>
          <w:tab w:val="clear" w:pos="0"/>
        </w:tabs>
        <w:ind w:left="458" w:hanging="458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If grounds for divorce are not adultery or abandonment, then remarriage is adulterous for both parties</w:t>
      </w:r>
      <w:r>
        <w:rPr>
          <w:rFonts w:ascii="Georgia"/>
          <w:sz w:val="28"/>
          <w:szCs w:val="28"/>
          <w:rtl w:val="0"/>
          <w:lang w:val="en-US"/>
        </w:rPr>
        <w:t xml:space="preserve"> (Matt. 5:32/19:9)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Live out your marriage honorably before God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decimal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decimal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decimal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decimal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decimal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decimal"/>
      <w:suff w:val="tab"/>
      <w:lvlText w:val="%9."/>
      <w:lvlJc w:val="left"/>
      <w:pPr/>
      <w:rPr>
        <w:position w:val="0"/>
        <w:u w:val="single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decimal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decimal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decimal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decimal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decimal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decimal"/>
      <w:suff w:val="tab"/>
      <w:lvlText w:val="%9."/>
      <w:lvlJc w:val="left"/>
      <w:pPr/>
      <w:rPr>
        <w:position w:val="0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